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от 12 декабря 2015 г. N 1365</w:t>
      </w: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О ПОРЯДКЕ</w:t>
      </w: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 xml:space="preserve">ПРЕДСТАВЛЕНИЯ ФИЗИЧЕСКИМИ ЛИЦАМИ - РЕЗИДЕНТАМИ </w:t>
      </w:r>
      <w:proofErr w:type="gramStart"/>
      <w:r w:rsidRPr="002A625A">
        <w:rPr>
          <w:rFonts w:ascii="Times New Roman" w:hAnsi="Times New Roman" w:cs="Times New Roman"/>
          <w:sz w:val="24"/>
          <w:szCs w:val="24"/>
        </w:rPr>
        <w:t>НАЛОГОВЫМ</w:t>
      </w:r>
      <w:proofErr w:type="gramEnd"/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ОРГАНАМ ОТЧЕТОВ О ДВИЖЕНИИ СРЕДСТВ ПО СЧЕТАМ (ВКЛАДАМ)</w:t>
      </w:r>
    </w:p>
    <w:p w:rsidR="00F00922" w:rsidRPr="002A625A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>В БАНКАХ ЗА ПРЕДЕЛАМИ ТЕРРИТОРИИ РОССИЙСКОЙ ФЕДЕРАЦИИ</w:t>
      </w:r>
    </w:p>
    <w:p w:rsidR="00F00922" w:rsidRPr="002A625A" w:rsidRDefault="00F00922" w:rsidP="002A625A">
      <w:pPr>
        <w:pStyle w:val="ConsPlusNormal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25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A64E25">
          <w:rPr>
            <w:rFonts w:ascii="Times New Roman" w:hAnsi="Times New Roman" w:cs="Times New Roman"/>
            <w:sz w:val="24"/>
            <w:szCs w:val="24"/>
          </w:rPr>
          <w:t>частью 7 статьи 12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Федерального закона "О валютном регулировании и валютном контроле" Правительство Российской Федерации постановляет: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0" w:history="1">
        <w:r w:rsidRPr="00A64E2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2. Федеральной налоговой службе обеспечить организацию учета и </w:t>
      </w:r>
      <w:proofErr w:type="gramStart"/>
      <w:r w:rsidRPr="00A64E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4E25">
        <w:rPr>
          <w:rFonts w:ascii="Times New Roman" w:hAnsi="Times New Roman" w:cs="Times New Roman"/>
          <w:sz w:val="24"/>
          <w:szCs w:val="24"/>
        </w:rPr>
        <w:t xml:space="preserve"> представлением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3. Отчеты о движении средств по счетам (вкладам) в банках за пределами территории Российской Федерации представляются физическими лицами - резидентами налоговым органам в соответствии с </w:t>
      </w:r>
      <w:hyperlink w:anchor="P30" w:history="1">
        <w:r w:rsidRPr="00A64E2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64E25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начиная с отчетности за 2015 год.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4. В случае закрытия физическими лицами - резидентами счетов (вкладов) в банках за пределами территории Российской Федерации в 2015 году положения </w:t>
      </w:r>
      <w:hyperlink w:anchor="P58" w:history="1">
        <w:r w:rsidRPr="00A64E25">
          <w:rPr>
            <w:rFonts w:ascii="Times New Roman" w:hAnsi="Times New Roman" w:cs="Times New Roman"/>
            <w:sz w:val="24"/>
            <w:szCs w:val="24"/>
          </w:rPr>
          <w:t>абзаца третьего пункта 9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Правил, утвержденных настоящим постановлением, не распространяются на указанных физических лиц - резидентов. Отчеты о движении средств по счетам (вкладам) в банках за пределами территории Российской Федерации представляются указанными физическими лицами - резидентами налоговым органам до 1 июня 2016 г.</w:t>
      </w:r>
    </w:p>
    <w:p w:rsidR="00F00922" w:rsidRPr="00A64E25" w:rsidRDefault="00F00922" w:rsidP="002A625A">
      <w:pPr>
        <w:pStyle w:val="ConsPlusNormal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Normal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00922" w:rsidRPr="00A64E25" w:rsidRDefault="00F00922" w:rsidP="002A625A">
      <w:pPr>
        <w:pStyle w:val="ConsPlusNormal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00922" w:rsidRPr="00A64E25" w:rsidRDefault="00F00922" w:rsidP="002A625A">
      <w:pPr>
        <w:pStyle w:val="ConsPlusNormal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Д.МЕДВЕДЕВ</w:t>
      </w:r>
    </w:p>
    <w:p w:rsidR="002A625A" w:rsidRPr="00A64E25" w:rsidRDefault="002A625A" w:rsidP="002A625A">
      <w:pPr>
        <w:pStyle w:val="ConsPlusNormal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A625A" w:rsidRPr="00A64E25" w:rsidRDefault="002A625A" w:rsidP="002A625A">
      <w:pPr>
        <w:pStyle w:val="ConsPlusNormal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A64E25">
        <w:rPr>
          <w:rFonts w:ascii="Times New Roman" w:hAnsi="Times New Roman" w:cs="Times New Roman"/>
          <w:sz w:val="24"/>
          <w:szCs w:val="24"/>
        </w:rPr>
        <w:t>ПРАВИЛА</w:t>
      </w:r>
    </w:p>
    <w:p w:rsidR="00F00922" w:rsidRPr="00A64E25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ПРЕДСТАВЛЕНИЯ ФИЗИЧЕСКИМИ ЛИЦАМИ - РЕЗИДЕНТАМИ </w:t>
      </w:r>
      <w:proofErr w:type="gramStart"/>
      <w:r w:rsidRPr="00A64E25">
        <w:rPr>
          <w:rFonts w:ascii="Times New Roman" w:hAnsi="Times New Roman" w:cs="Times New Roman"/>
          <w:sz w:val="24"/>
          <w:szCs w:val="24"/>
        </w:rPr>
        <w:t>НАЛОГОВЫМ</w:t>
      </w:r>
      <w:proofErr w:type="gramEnd"/>
    </w:p>
    <w:p w:rsidR="00F00922" w:rsidRPr="00A64E25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ОРГАНАМ ОТЧЕТОВ О ДВИЖЕНИИ СРЕДСТВ ПО СЧЕТАМ (ВКЛАДАМ)</w:t>
      </w:r>
    </w:p>
    <w:p w:rsidR="00F00922" w:rsidRPr="00A64E25" w:rsidRDefault="00F00922" w:rsidP="002A625A">
      <w:pPr>
        <w:pStyle w:val="ConsPlusTitle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В БАНКАХ ЗА ПРЕДЕЛАМИ ТЕРРИТОРИИ РОССИЙСКОЙ ФЕДЕРАЦИИ</w:t>
      </w:r>
    </w:p>
    <w:p w:rsidR="00F00922" w:rsidRPr="00A64E25" w:rsidRDefault="00F00922" w:rsidP="002A625A">
      <w:pPr>
        <w:pStyle w:val="ConsPlusNormal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представления физическими лицами - резидентами налоговым органам по месту своего учета (далее - налоговый орган) отчетов о движении средств по счетам (вкладам) в банках за пределами территории Российской Федерации (далее - отчеты).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2. Физическое лицо - резидент представляет в налоговый орган отчет ежегодно, до 1 июня года, следующего за отчетным годом, за исключением случаев представления отчетов в иные сроки в соответствии с </w:t>
      </w:r>
      <w:hyperlink w:anchor="P52" w:history="1">
        <w:r w:rsidRPr="00A64E25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A64E25">
        <w:rPr>
          <w:rFonts w:ascii="Times New Roman" w:hAnsi="Times New Roman" w:cs="Times New Roman"/>
          <w:sz w:val="24"/>
          <w:szCs w:val="24"/>
        </w:rPr>
        <w:t xml:space="preserve">3. Отчет по форме согласно </w:t>
      </w:r>
      <w:hyperlink w:anchor="P84" w:history="1">
        <w:r w:rsidRPr="00A64E25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представляется в одном экземпляре, за исключением случая, предусмотренного </w:t>
      </w:r>
      <w:hyperlink w:anchor="P44" w:history="1">
        <w:r w:rsidRPr="00A64E25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Количество </w:t>
      </w:r>
      <w:hyperlink w:anchor="P171" w:history="1">
        <w:r w:rsidRPr="00A64E25">
          <w:rPr>
            <w:rFonts w:ascii="Times New Roman" w:hAnsi="Times New Roman" w:cs="Times New Roman"/>
            <w:sz w:val="24"/>
            <w:szCs w:val="24"/>
          </w:rPr>
          <w:t>листов N 2</w:t>
        </w:r>
      </w:hyperlink>
      <w:r w:rsidRPr="00A64E25">
        <w:rPr>
          <w:rFonts w:ascii="Times New Roman" w:hAnsi="Times New Roman" w:cs="Times New Roman"/>
          <w:sz w:val="24"/>
          <w:szCs w:val="24"/>
        </w:rPr>
        <w:t>, представляемых в составе отчета, должно соответствовать количеству счетов (вкладов), открытых физическим лицом - резидентом в банках за пределами территории Российской Федерации.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4. В случае если несколькими физическими лицами - резидентами открыт общий (совместный) счет (вклад) в банке за пределами территории Российской Федерации, отчет представляется каждым таким физическим лицом - резидентом.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В случае если общий (совместный) счет (вклад) в банке за пределами территории </w:t>
      </w:r>
      <w:r w:rsidRPr="00A64E2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открыт физическим лицом - резидентом и физическим лицом - нерезидентом, отчет представляется только физическим лицом - резидентом.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64E25">
        <w:rPr>
          <w:rFonts w:ascii="Times New Roman" w:hAnsi="Times New Roman" w:cs="Times New Roman"/>
          <w:sz w:val="24"/>
          <w:szCs w:val="24"/>
        </w:rPr>
        <w:t>Отчет представляется в электронной форме через личный кабинет налогоплательщика, который размещен на официальном сайте федерального органа исполнительной власти, уполномоченного по контролю и надзору в области налогов и сборов, в информационно-телекоммуникационной сети "Интернет" (далее - личный кабинет налогоплательщика), или представляется на бумажном носителе непосредственно физическим лицом - резидентом либо представителем физического лица - резидента, полномочия которого подтверждены в соответствии с законодательством Российской Федерации (далее</w:t>
      </w:r>
      <w:proofErr w:type="gramEnd"/>
      <w:r w:rsidRPr="00A64E25">
        <w:rPr>
          <w:rFonts w:ascii="Times New Roman" w:hAnsi="Times New Roman" w:cs="Times New Roman"/>
          <w:sz w:val="24"/>
          <w:szCs w:val="24"/>
        </w:rPr>
        <w:t xml:space="preserve"> - представитель), или направляется заказным почтовым отправлением с уведомлением о вручении.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Технические требования к представлению отчета через личный кабинет налогоплательщика устанавливаются федеральным органом исполнительной власти, уполномоченным по контролю и надзору в области налогов и сборов.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Отчет, представляемый физическим лицом - резидентом в налоговый орган через личный кабинет налогоплательщика, подписывается усиленной неквалифицированной электронной подписью в соответствии с Федеральным </w:t>
      </w:r>
      <w:hyperlink r:id="rId6" w:history="1">
        <w:r w:rsidRPr="00A64E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"Об электронной подписи" и признается равнозначным документу на бумажном носителе, подписанному собственноручной подписью физического лица - резидента.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A64E25">
        <w:rPr>
          <w:rFonts w:ascii="Times New Roman" w:hAnsi="Times New Roman" w:cs="Times New Roman"/>
          <w:sz w:val="24"/>
          <w:szCs w:val="24"/>
        </w:rPr>
        <w:t>6. В целях получения отметки налогового органа о принятии отчета отчет представляется на бумажном носителе в 2 экземплярах непосредственно физическим лицом - резидентом либо его представителем или направляется физическим лицом - резидентом в налоговый орган заказным почтовым отправлением с уведомлением о вручении. Один экземпляр отчета с отметкой налогового органа о принятии отчета возвращается физическому лицу - резиденту либо его представителю в день представления отчета или направляется заказным почтовым отправлением с уведомлением о вручении в течение 5 рабочих дней со дня получения налоговым органом отчета. Второй экземпляр отчета остается в налоговом органе.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7. Днем представления в налоговый орган отчета считается: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а) для отчета, представленного через личный кабинет налогоплательщика, - дата, которая фиксируется соответствующей информационной системой в момент направления физическим лицом - резидентом отчета;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б) для отчета, представленного на бумажном носителе непосредственно физическим лицом - резидентом либо его представителем, - дата, указанная в отметке налогового органа о принятии отчета;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в) для отчета, направленного заказным почтовым отправлением с уведомлением о вручении, - дата направления физическим лицом - резидентом заказного почтового отправления с уведомлением о вручении.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8. В целях осуществления валютного контроля налоговый орган в пределах своей компетенции имеет право запрашивать и получать от физического лица - резидента подтверждающие документы (копии документов) и информацию, которые связаны с проведением валютных операций, открытием и ведением счетов (вкладов) (далее - подтверждающие документы и информация).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E25">
        <w:rPr>
          <w:rFonts w:ascii="Times New Roman" w:hAnsi="Times New Roman" w:cs="Times New Roman"/>
          <w:sz w:val="24"/>
          <w:szCs w:val="24"/>
        </w:rPr>
        <w:t xml:space="preserve">Подтверждающие документы и информация представляются в налоговый орган в соответствии со </w:t>
      </w:r>
      <w:hyperlink r:id="rId7" w:history="1">
        <w:r w:rsidRPr="00A64E25">
          <w:rPr>
            <w:rFonts w:ascii="Times New Roman" w:hAnsi="Times New Roman" w:cs="Times New Roman"/>
            <w:sz w:val="24"/>
            <w:szCs w:val="24"/>
          </w:rPr>
          <w:t>статьей 23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Федерального закона "О валютном регулировании и валютном контроле" в порядке, установленном </w:t>
      </w:r>
      <w:hyperlink r:id="rId8" w:history="1">
        <w:r w:rsidRPr="00A64E2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февраля 2007 г. N 98 "Об утверждении Правил представления резидентами и нерезидентами подтверждающих документов и информации при осуществлении валютных операций агентам валютного контроля, за исключением уполномоченных банков".</w:t>
      </w:r>
      <w:proofErr w:type="gramEnd"/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Физическое лицо - резидент вправе представить в налоговый орган подтверждающие документы и информацию одновременно с отчетом.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2"/>
      <w:bookmarkEnd w:id="3"/>
      <w:r w:rsidRPr="00A64E25">
        <w:rPr>
          <w:rFonts w:ascii="Times New Roman" w:hAnsi="Times New Roman" w:cs="Times New Roman"/>
          <w:sz w:val="24"/>
          <w:szCs w:val="24"/>
        </w:rPr>
        <w:t>9. Отчет представляется за период с 1 января по 31 декабря отчетного года включительно.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В случае если счет (вклад) в банке за пределами территории Российской Федерации открыт после 1 января отчетного года, отчет представляется за период </w:t>
      </w:r>
      <w:proofErr w:type="gramStart"/>
      <w:r w:rsidRPr="00A64E25">
        <w:rPr>
          <w:rFonts w:ascii="Times New Roman" w:hAnsi="Times New Roman" w:cs="Times New Roman"/>
          <w:sz w:val="24"/>
          <w:szCs w:val="24"/>
        </w:rPr>
        <w:t>с даты открытия</w:t>
      </w:r>
      <w:proofErr w:type="gramEnd"/>
      <w:r w:rsidRPr="00A64E25">
        <w:rPr>
          <w:rFonts w:ascii="Times New Roman" w:hAnsi="Times New Roman" w:cs="Times New Roman"/>
          <w:sz w:val="24"/>
          <w:szCs w:val="24"/>
        </w:rPr>
        <w:t xml:space="preserve"> счета (вклада) по 31 декабря отчетного года включительно.</w:t>
      </w:r>
    </w:p>
    <w:p w:rsidR="00F00922" w:rsidRPr="00A64E25" w:rsidRDefault="00F00922" w:rsidP="002A625A">
      <w:pPr>
        <w:pStyle w:val="ConsPlusNormal"/>
        <w:pBdr>
          <w:top w:val="single" w:sz="6" w:space="0" w:color="auto"/>
        </w:pBdr>
        <w:spacing w:before="100" w:after="10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E25">
        <w:rPr>
          <w:rFonts w:ascii="Times New Roman" w:hAnsi="Times New Roman" w:cs="Times New Roman"/>
          <w:sz w:val="24"/>
          <w:szCs w:val="24"/>
        </w:rPr>
        <w:lastRenderedPageBreak/>
        <w:t>КонсультантПлюс</w:t>
      </w:r>
      <w:proofErr w:type="spellEnd"/>
      <w:r w:rsidRPr="00A64E25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В случае закрытия физическими лицами - резидентами счетов (вкладов) в банках за пределами территории Российской Федерации в 2015 году положения абзаца третьего пункта 9 не распространяются на указанных физических лиц - резидентов. Отчеты о движении средств по счетам (вкладам) в банках за пределами территории Российской Федерации представляются указанными физическими лицами - резидентами налоговым органам до 1 июня 2016 года.</w:t>
      </w:r>
    </w:p>
    <w:p w:rsidR="00F00922" w:rsidRPr="00A64E25" w:rsidRDefault="00F00922" w:rsidP="002A625A">
      <w:pPr>
        <w:pStyle w:val="ConsPlusNormal"/>
        <w:pBdr>
          <w:top w:val="single" w:sz="6" w:space="0" w:color="auto"/>
        </w:pBdr>
        <w:spacing w:before="100" w:after="10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"/>
      <w:bookmarkEnd w:id="4"/>
      <w:proofErr w:type="gramStart"/>
      <w:r w:rsidRPr="00A64E25">
        <w:rPr>
          <w:rFonts w:ascii="Times New Roman" w:hAnsi="Times New Roman" w:cs="Times New Roman"/>
          <w:sz w:val="24"/>
          <w:szCs w:val="24"/>
        </w:rPr>
        <w:t xml:space="preserve">В случае закрытия счета (вклада) в банке за пределами территории Российской Федерации в отчетном году отчет представляется за период с 1 января отчетного года или с даты открытия счета (вклада) в банке за пределами территории Российской Федерации в отчетном году по дату закрытия счета (вклада) включительно одновременно с уведомлением о закрытии счета (вклада) в срок, установленный </w:t>
      </w:r>
      <w:hyperlink r:id="rId9" w:history="1">
        <w:r w:rsidRPr="00A64E25">
          <w:rPr>
            <w:rFonts w:ascii="Times New Roman" w:hAnsi="Times New Roman" w:cs="Times New Roman"/>
            <w:sz w:val="24"/>
            <w:szCs w:val="24"/>
          </w:rPr>
          <w:t>частью 2 статьи 12</w:t>
        </w:r>
        <w:proofErr w:type="gramEnd"/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Федерального закона "О валютном регулировании и валютном контроле".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10. Обязанность физического лица - резидента представить налоговому органу отчет считается исполненной, если физическим лицом - резидентом представлен отчет в полном объеме и в установленный срок.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11. В случае выявления налоговым органом неправильных сведений (ошибок, неточных сведений), указанных физическим лицом - резидентом в отчете, а также заполнения отчета не в полном объеме налоговый орган письменно уведомляет физическое лицо - резидента о необходимости представления исправленного (уточненного) отчета (далее - уведомление).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Уведомление направляется налоговым органом через личный кабинет налогоплательщика, или выдается непосредственно физическому лицу - резиденту либо его представителю под расписку, или направляется заказным почтовым отправлением с уведомлением о вручении.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 xml:space="preserve">Исправленный (уточненный) отчет должен быть представлен физическим лицом - резидентом в налоговый орган в течение установленного в уведомлении срока, который не может быть менее 7 рабочих дней со дня его получения, в порядке, предусмотренном </w:t>
      </w:r>
      <w:hyperlink w:anchor="P37" w:history="1">
        <w:r w:rsidRPr="00A64E25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4" w:history="1">
        <w:r w:rsidRPr="00A64E25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A64E2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12. Днем получения физическим лицом - резидентом уведомления считается: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а) для уведомления, направленного через личный кабинет налогоплательщика, - дата, которая фиксируется соответствующей информационной системой в момент направления налоговым органом уведомления;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б) для уведомления, выданного налоговым органом непосредственно физическому лицу - резиденту либо его представителю, - дата, указанная в отметке физического лица - резидента либо его представителя о принятии уведомления;</w:t>
      </w:r>
    </w:p>
    <w:p w:rsidR="00F00922" w:rsidRPr="00A64E25" w:rsidRDefault="00F00922" w:rsidP="002A625A">
      <w:pPr>
        <w:pStyle w:val="ConsPlusNormal"/>
        <w:ind w:left="-426"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E25">
        <w:rPr>
          <w:rFonts w:ascii="Times New Roman" w:hAnsi="Times New Roman" w:cs="Times New Roman"/>
          <w:sz w:val="24"/>
          <w:szCs w:val="24"/>
        </w:rPr>
        <w:t>в) для уведомления, направленного заказным почтовым отправлением с уведомлением о вручении, - дата получения физическим лицом - резидентом уведомления, указанная в уведомлении о вручении.</w:t>
      </w:r>
    </w:p>
    <w:p w:rsidR="002A625A" w:rsidRPr="00A64E25" w:rsidRDefault="002A625A" w:rsidP="002A625A">
      <w:pPr>
        <w:pStyle w:val="ConsPlusNormal"/>
        <w:ind w:left="-851" w:right="-284"/>
        <w:jc w:val="both"/>
      </w:pPr>
    </w:p>
    <w:p w:rsidR="002A625A" w:rsidRPr="00A64E25" w:rsidRDefault="002A625A" w:rsidP="002A625A">
      <w:pPr>
        <w:pStyle w:val="ConsPlusNormal"/>
        <w:ind w:left="-851" w:right="-284"/>
        <w:jc w:val="both"/>
      </w:pPr>
    </w:p>
    <w:p w:rsidR="00F00922" w:rsidRPr="00A64E25" w:rsidRDefault="00F00922" w:rsidP="002A625A">
      <w:pPr>
        <w:pStyle w:val="ConsPlusNormal"/>
        <w:ind w:left="-851" w:right="-284"/>
        <w:jc w:val="right"/>
        <w:sectPr w:rsidR="00F00922" w:rsidRPr="00A64E25" w:rsidSect="002A625A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A625A" w:rsidRPr="00A64E25" w:rsidRDefault="002A625A">
      <w:pPr>
        <w:pStyle w:val="ConsPlusNonformat"/>
        <w:jc w:val="both"/>
      </w:pPr>
    </w:p>
    <w:p w:rsidR="002A625A" w:rsidRPr="00A64E25" w:rsidRDefault="002A625A" w:rsidP="002A625A">
      <w:pPr>
        <w:pStyle w:val="ConsPlusNonformat"/>
        <w:jc w:val="right"/>
      </w:pPr>
      <w:r w:rsidRPr="00A64E25">
        <w:t>Правилам представления</w:t>
      </w:r>
    </w:p>
    <w:p w:rsidR="002A625A" w:rsidRPr="00A64E25" w:rsidRDefault="002A625A" w:rsidP="002A625A">
      <w:pPr>
        <w:pStyle w:val="ConsPlusNonformat"/>
        <w:jc w:val="right"/>
      </w:pPr>
      <w:r w:rsidRPr="00A64E25">
        <w:t>физическими лицами - резидентами</w:t>
      </w:r>
    </w:p>
    <w:p w:rsidR="002A625A" w:rsidRPr="00A64E25" w:rsidRDefault="002A625A" w:rsidP="002A625A">
      <w:pPr>
        <w:pStyle w:val="ConsPlusNonformat"/>
        <w:jc w:val="right"/>
      </w:pPr>
      <w:r w:rsidRPr="00A64E25">
        <w:t>налоговым органам отчетов</w:t>
      </w:r>
    </w:p>
    <w:p w:rsidR="002A625A" w:rsidRPr="00A64E25" w:rsidRDefault="002A625A" w:rsidP="002A625A">
      <w:pPr>
        <w:pStyle w:val="ConsPlusNonformat"/>
        <w:jc w:val="right"/>
      </w:pPr>
      <w:r w:rsidRPr="00A64E25">
        <w:t>о движении средств по счетам</w:t>
      </w:r>
    </w:p>
    <w:p w:rsidR="002A625A" w:rsidRPr="00A64E25" w:rsidRDefault="002A625A" w:rsidP="002A625A">
      <w:pPr>
        <w:pStyle w:val="ConsPlusNonformat"/>
        <w:jc w:val="right"/>
      </w:pPr>
      <w:r w:rsidRPr="00A64E25">
        <w:t>(вкладам) в банках за пределами</w:t>
      </w:r>
    </w:p>
    <w:p w:rsidR="002A625A" w:rsidRPr="00A64E25" w:rsidRDefault="002A625A" w:rsidP="002A625A">
      <w:pPr>
        <w:pStyle w:val="ConsPlusNonformat"/>
        <w:jc w:val="right"/>
      </w:pPr>
      <w:r w:rsidRPr="00A64E25">
        <w:t>территории Российской Федерации</w:t>
      </w:r>
    </w:p>
    <w:p w:rsidR="002A625A" w:rsidRPr="00A64E25" w:rsidRDefault="002A625A" w:rsidP="002A625A">
      <w:pPr>
        <w:pStyle w:val="ConsPlusNonformat"/>
        <w:jc w:val="right"/>
      </w:pPr>
    </w:p>
    <w:p w:rsidR="002A625A" w:rsidRPr="00A64E25" w:rsidRDefault="002A625A" w:rsidP="002A625A">
      <w:pPr>
        <w:pStyle w:val="ConsPlusNonformat"/>
        <w:jc w:val="both"/>
      </w:pPr>
      <w:r w:rsidRPr="00A64E25">
        <w:t>(форма)</w:t>
      </w:r>
    </w:p>
    <w:p w:rsidR="00F00922" w:rsidRPr="00A64E25" w:rsidRDefault="00F00922">
      <w:pPr>
        <w:pStyle w:val="ConsPlusNonformat"/>
        <w:jc w:val="both"/>
      </w:pPr>
      <w:r w:rsidRPr="00A64E25">
        <w:t>ЛИСТ N 1</w:t>
      </w:r>
    </w:p>
    <w:p w:rsidR="00F00922" w:rsidRPr="00A64E25" w:rsidRDefault="00F00922">
      <w:pPr>
        <w:pStyle w:val="ConsPlusNonformat"/>
        <w:jc w:val="both"/>
      </w:pPr>
    </w:p>
    <w:p w:rsidR="00F00922" w:rsidRPr="00A64E25" w:rsidRDefault="00F00922">
      <w:pPr>
        <w:pStyle w:val="ConsPlusNonformat"/>
        <w:jc w:val="both"/>
      </w:pPr>
      <w:bookmarkStart w:id="5" w:name="P84"/>
      <w:bookmarkEnd w:id="5"/>
      <w:r w:rsidRPr="00A64E25">
        <w:t xml:space="preserve">                                   ОТЧЕТ</w:t>
      </w:r>
    </w:p>
    <w:p w:rsidR="00F00922" w:rsidRPr="00A64E25" w:rsidRDefault="00F00922">
      <w:pPr>
        <w:pStyle w:val="ConsPlusNonformat"/>
        <w:jc w:val="both"/>
      </w:pPr>
      <w:r w:rsidRPr="00A64E25">
        <w:t xml:space="preserve">              о движении средств физического лица - резидента</w:t>
      </w:r>
    </w:p>
    <w:p w:rsidR="00F00922" w:rsidRPr="00A64E25" w:rsidRDefault="00F00922">
      <w:pPr>
        <w:pStyle w:val="ConsPlusNonformat"/>
        <w:jc w:val="both"/>
      </w:pPr>
      <w:r w:rsidRPr="00A64E25">
        <w:t xml:space="preserve">             по счету (вкладу) в банке за пределами территории</w:t>
      </w:r>
    </w:p>
    <w:p w:rsidR="00F00922" w:rsidRPr="00A64E25" w:rsidRDefault="00F00922">
      <w:pPr>
        <w:pStyle w:val="ConsPlusNonformat"/>
        <w:jc w:val="both"/>
      </w:pPr>
      <w:r w:rsidRPr="00A64E25">
        <w:t xml:space="preserve">                           Российской Федерации</w:t>
      </w:r>
    </w:p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5"/>
        <w:gridCol w:w="283"/>
        <w:gridCol w:w="284"/>
        <w:gridCol w:w="283"/>
        <w:gridCol w:w="284"/>
      </w:tblGrid>
      <w:tr w:rsidR="00F00922" w:rsidRPr="00A64E25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Представляется в ___________________________________________________ N</w:t>
            </w:r>
          </w:p>
          <w:p w:rsidR="00F00922" w:rsidRPr="00A64E25" w:rsidRDefault="00F00922">
            <w:pPr>
              <w:pStyle w:val="ConsPlusNormal"/>
              <w:jc w:val="right"/>
            </w:pPr>
            <w:r w:rsidRPr="00A64E25">
              <w:t>(наименование налогового органа по месту учета физического лица)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829"/>
      </w:tblGrid>
      <w:tr w:rsidR="00F00922" w:rsidRPr="00A64E25">
        <w:tc>
          <w:tcPr>
            <w:tcW w:w="4829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Адрес налогового органа по месту учета физического лица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829"/>
      </w:tblGrid>
      <w:tr w:rsidR="00F00922" w:rsidRPr="00A64E25">
        <w:tc>
          <w:tcPr>
            <w:tcW w:w="4829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 xml:space="preserve">Ф.И.О. физического лица - резидента </w:t>
            </w:r>
            <w:hyperlink w:anchor="P428" w:history="1">
              <w:r w:rsidRPr="00A64E25">
                <w:t>&lt;1&gt;</w:t>
              </w:r>
            </w:hyperlink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F00922" w:rsidRPr="00A64E25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ИНН (если имеется)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3"/>
        <w:gridCol w:w="484"/>
        <w:gridCol w:w="484"/>
        <w:gridCol w:w="484"/>
        <w:gridCol w:w="484"/>
        <w:gridCol w:w="483"/>
        <w:gridCol w:w="484"/>
        <w:gridCol w:w="484"/>
        <w:gridCol w:w="484"/>
        <w:gridCol w:w="484"/>
      </w:tblGrid>
      <w:tr w:rsidR="00A64E25" w:rsidRPr="00A64E25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Дата рождения</w:t>
            </w:r>
          </w:p>
        </w:tc>
        <w:tc>
          <w:tcPr>
            <w:tcW w:w="4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4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one" w:sz="0" w:space="0" w:color="auto"/>
            <w:insideV w:val="nil"/>
          </w:tblBorders>
        </w:tblPrEx>
        <w:tc>
          <w:tcPr>
            <w:tcW w:w="4820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967" w:type="dxa"/>
            <w:gridSpan w:val="2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(день)</w:t>
            </w:r>
          </w:p>
        </w:tc>
        <w:tc>
          <w:tcPr>
            <w:tcW w:w="484" w:type="dxa"/>
            <w:tcBorders>
              <w:top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968" w:type="dxa"/>
            <w:gridSpan w:val="2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(месяц)</w:t>
            </w:r>
          </w:p>
        </w:tc>
        <w:tc>
          <w:tcPr>
            <w:tcW w:w="483" w:type="dxa"/>
            <w:tcBorders>
              <w:top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936" w:type="dxa"/>
            <w:gridSpan w:val="4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(год)</w:t>
            </w:r>
          </w:p>
        </w:tc>
      </w:tr>
      <w:tr w:rsidR="00A64E25" w:rsidRPr="00A64E25">
        <w:tblPrEx>
          <w:tblBorders>
            <w:insideH w:val="nil"/>
          </w:tblBorders>
        </w:tblPrEx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Адрес места жительства</w:t>
            </w:r>
          </w:p>
        </w:tc>
        <w:tc>
          <w:tcPr>
            <w:tcW w:w="4838" w:type="dxa"/>
            <w:gridSpan w:val="10"/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820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838" w:type="dxa"/>
            <w:gridSpan w:val="10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proofErr w:type="gramStart"/>
            <w:r w:rsidRPr="00A64E25">
              <w:t>(почтовый индекс, субъект Российской Федерации, район, город, населенный пункт, улица (переулок и т.д.), номер дома (владения), корпуса (строения), квартиры)</w:t>
            </w:r>
            <w:proofErr w:type="gramEnd"/>
          </w:p>
        </w:tc>
      </w:tr>
    </w:tbl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nformat"/>
        <w:jc w:val="both"/>
      </w:pPr>
      <w:r w:rsidRPr="00A64E25">
        <w:t xml:space="preserve">                Данные документа, удостоверяющего личность</w:t>
      </w:r>
    </w:p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54"/>
        <w:gridCol w:w="355"/>
        <w:gridCol w:w="708"/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00922" w:rsidRPr="00A64E2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 xml:space="preserve">Вид документа </w:t>
            </w:r>
            <w:hyperlink w:anchor="P429" w:history="1">
              <w:r w:rsidRPr="00A64E25">
                <w:t>&lt;2&gt;</w:t>
              </w:r>
            </w:hyperlink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Дата выдачи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110"/>
      </w:tblGrid>
      <w:tr w:rsidR="00F00922" w:rsidRPr="00A64E25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Серия и номер документа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63"/>
      </w:tblGrid>
      <w:tr w:rsidR="00A64E25" w:rsidRPr="00A64E25">
        <w:tc>
          <w:tcPr>
            <w:tcW w:w="9663" w:type="dxa"/>
            <w:tcBorders>
              <w:top w:val="nil"/>
              <w:left w:val="nil"/>
              <w:right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 xml:space="preserve">Кем </w:t>
            </w:r>
            <w:proofErr w:type="gramStart"/>
            <w:r w:rsidRPr="00A64E25">
              <w:t>выдан</w:t>
            </w:r>
            <w:proofErr w:type="gramEnd"/>
          </w:p>
        </w:tc>
      </w:tr>
      <w:tr w:rsidR="00F00922" w:rsidRPr="00A64E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63" w:type="dxa"/>
            <w:tcBorders>
              <w:left w:val="single" w:sz="4" w:space="0" w:color="auto"/>
              <w:right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283"/>
        <w:gridCol w:w="284"/>
        <w:gridCol w:w="283"/>
        <w:gridCol w:w="284"/>
        <w:gridCol w:w="283"/>
        <w:gridCol w:w="284"/>
      </w:tblGrid>
      <w:tr w:rsidR="00F00922" w:rsidRPr="00A64E25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Код подразделения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nformat"/>
        <w:jc w:val="both"/>
      </w:pPr>
      <w:bookmarkStart w:id="6" w:name="P171"/>
      <w:bookmarkEnd w:id="6"/>
      <w:r w:rsidRPr="00A64E25">
        <w:t>ЛИСТ N 2                                                 ГОДОВАЯ ОТЧЕТНОСТЬ</w:t>
      </w:r>
    </w:p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418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7"/>
      </w:tblGrid>
      <w:tr w:rsidR="00A64E25" w:rsidRPr="00A64E25"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ОТЧЕТ О ДВИЖЕНИИ СРЕДСТВ ПО СЧЕТУ (ВКЛАДУ) В БАНКЕ ЗА ПРЕДЕЛАМИ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right"/>
            </w:pPr>
            <w:r w:rsidRPr="00A64E25">
              <w:t xml:space="preserve">За период </w:t>
            </w:r>
            <w:proofErr w:type="gramStart"/>
            <w:r w:rsidRPr="00A64E25">
              <w:t>с</w:t>
            </w:r>
            <w:proofErr w:type="gramEnd"/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7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7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678" w:type="dxa"/>
            <w:vMerge/>
            <w:tcBorders>
              <w:top w:val="nil"/>
              <w:bottom w:val="nil"/>
            </w:tcBorders>
          </w:tcPr>
          <w:p w:rsidR="00F00922" w:rsidRPr="00A64E25" w:rsidRDefault="00F00922"/>
        </w:tc>
        <w:tc>
          <w:tcPr>
            <w:tcW w:w="1418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712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(день)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(месяц)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425" w:type="dxa"/>
            <w:gridSpan w:val="4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(год)</w:t>
            </w:r>
          </w:p>
        </w:tc>
      </w:tr>
      <w:tr w:rsidR="00A64E25" w:rsidRPr="00A64E2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678" w:type="dxa"/>
            <w:vMerge/>
            <w:tcBorders>
              <w:top w:val="nil"/>
              <w:bottom w:val="nil"/>
            </w:tcBorders>
          </w:tcPr>
          <w:p w:rsidR="00F00922" w:rsidRPr="00A64E25" w:rsidRDefault="00F00922"/>
        </w:tc>
        <w:tc>
          <w:tcPr>
            <w:tcW w:w="4980" w:type="dxa"/>
            <w:gridSpan w:val="11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right"/>
            </w:pPr>
            <w:r w:rsidRPr="00A64E25">
              <w:t>по</w:t>
            </w: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7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7" w:type="dxa"/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678" w:type="dxa"/>
            <w:vMerge/>
            <w:tcBorders>
              <w:top w:val="nil"/>
              <w:bottom w:val="nil"/>
            </w:tcBorders>
          </w:tcPr>
          <w:p w:rsidR="00F00922" w:rsidRPr="00A64E25" w:rsidRDefault="00F00922"/>
        </w:tc>
        <w:tc>
          <w:tcPr>
            <w:tcW w:w="1418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712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(день)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(месяц)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425" w:type="dxa"/>
            <w:gridSpan w:val="4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(год)</w:t>
            </w:r>
          </w:p>
        </w:tc>
      </w:tr>
    </w:tbl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nformat"/>
        <w:jc w:val="both"/>
      </w:pPr>
      <w:r w:rsidRPr="00A64E25">
        <w:t xml:space="preserve">            Банк за пределами территории Российской Федерации,</w:t>
      </w:r>
    </w:p>
    <w:p w:rsidR="00F00922" w:rsidRPr="00A64E25" w:rsidRDefault="00F00922">
      <w:pPr>
        <w:pStyle w:val="ConsPlusNonformat"/>
        <w:jc w:val="both"/>
      </w:pPr>
      <w:r w:rsidRPr="00A64E25">
        <w:t xml:space="preserve">                       в </w:t>
      </w:r>
      <w:proofErr w:type="gramStart"/>
      <w:r w:rsidRPr="00A64E25">
        <w:t>котором</w:t>
      </w:r>
      <w:proofErr w:type="gramEnd"/>
      <w:r w:rsidRPr="00A64E25">
        <w:t xml:space="preserve"> открыт счет (вклад)</w:t>
      </w:r>
    </w:p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829"/>
      </w:tblGrid>
      <w:tr w:rsidR="00F00922" w:rsidRPr="00A64E25">
        <w:tc>
          <w:tcPr>
            <w:tcW w:w="4829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Наименование (латинскими буквами)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829"/>
      </w:tblGrid>
      <w:tr w:rsidR="00F00922" w:rsidRPr="00A64E25">
        <w:tc>
          <w:tcPr>
            <w:tcW w:w="4829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БИК или CODE (SWIFT)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1701"/>
        <w:gridCol w:w="425"/>
        <w:gridCol w:w="425"/>
        <w:gridCol w:w="426"/>
      </w:tblGrid>
      <w:tr w:rsidR="00F00922" w:rsidRPr="00A64E25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Страна местонахождения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 xml:space="preserve">Код страны </w:t>
            </w:r>
            <w:hyperlink w:anchor="P430" w:history="1">
              <w:r w:rsidRPr="00A64E25">
                <w:t>&lt;3&gt;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82"/>
        <w:gridCol w:w="383"/>
        <w:gridCol w:w="383"/>
        <w:gridCol w:w="383"/>
        <w:gridCol w:w="382"/>
        <w:gridCol w:w="383"/>
        <w:gridCol w:w="383"/>
        <w:gridCol w:w="383"/>
        <w:gridCol w:w="382"/>
        <w:gridCol w:w="383"/>
        <w:gridCol w:w="383"/>
        <w:gridCol w:w="383"/>
        <w:gridCol w:w="382"/>
        <w:gridCol w:w="383"/>
        <w:gridCol w:w="383"/>
        <w:gridCol w:w="383"/>
        <w:gridCol w:w="382"/>
        <w:gridCol w:w="383"/>
        <w:gridCol w:w="383"/>
        <w:gridCol w:w="383"/>
      </w:tblGrid>
      <w:tr w:rsidR="00F00922" w:rsidRPr="00A64E25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>Счет N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2835"/>
        <w:gridCol w:w="284"/>
        <w:gridCol w:w="3543"/>
        <w:gridCol w:w="284"/>
      </w:tblGrid>
      <w:tr w:rsidR="00F00922" w:rsidRPr="00A64E25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Личный счет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>Общий (совместный) счет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  <w:r w:rsidRPr="00A64E25">
              <w:t xml:space="preserve">Количество совладельцев счета </w:t>
            </w:r>
            <w:hyperlink w:anchor="P431" w:history="1">
              <w:r w:rsidRPr="00A64E25">
                <w:t>&lt;4&gt;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83"/>
        <w:gridCol w:w="284"/>
        <w:gridCol w:w="284"/>
        <w:gridCol w:w="284"/>
        <w:gridCol w:w="283"/>
        <w:gridCol w:w="284"/>
        <w:gridCol w:w="284"/>
      </w:tblGrid>
      <w:tr w:rsidR="00A64E25" w:rsidRPr="00A64E2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t xml:space="preserve">Код валюты счета </w:t>
            </w:r>
            <w:hyperlink w:anchor="P432" w:history="1">
              <w:r w:rsidRPr="00A64E25">
                <w:t>&lt;5&gt;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1.</w:t>
            </w: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il"/>
            <w:insideH w:val="nil"/>
          </w:tblBorders>
        </w:tblPrEx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bookmarkStart w:id="7" w:name="P266"/>
            <w:bookmarkEnd w:id="7"/>
            <w:r w:rsidRPr="00A64E25">
              <w:t>2.</w:t>
            </w: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il"/>
            <w:insideH w:val="nil"/>
          </w:tblBorders>
        </w:tblPrEx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3.</w:t>
            </w: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il"/>
            <w:insideH w:val="nil"/>
          </w:tblBorders>
        </w:tblPrEx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4.</w:t>
            </w: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il"/>
            <w:insideH w:val="nil"/>
          </w:tblBorders>
        </w:tblPrEx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bookmarkStart w:id="8" w:name="P296"/>
            <w:bookmarkEnd w:id="8"/>
            <w:r w:rsidRPr="00A64E25">
              <w:t>5.</w:t>
            </w: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3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284" w:type="dxa"/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0"/>
        <w:gridCol w:w="1260"/>
        <w:gridCol w:w="1260"/>
        <w:gridCol w:w="1260"/>
        <w:gridCol w:w="1318"/>
      </w:tblGrid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Остаток средств на счете на начало отчетного периода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Зачислено средств за отчетный период - всего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Списано средств за отчетный период - всего</w:t>
            </w: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Остаток средств на счете на конец отчетного периода</w:t>
            </w:r>
          </w:p>
        </w:tc>
      </w:tr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1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2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3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4</w:t>
            </w: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5</w:t>
            </w:r>
          </w:p>
        </w:tc>
      </w:tr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  <w:r w:rsidRPr="00A64E25">
              <w:t>Сумма</w:t>
            </w:r>
          </w:p>
          <w:p w:rsidR="00F00922" w:rsidRPr="00A64E25" w:rsidRDefault="00F00922">
            <w:pPr>
              <w:pStyle w:val="ConsPlusNormal"/>
            </w:pPr>
            <w:r w:rsidRPr="00A64E25">
              <w:lastRenderedPageBreak/>
              <w:t>(в тыс. единиц валюты) по цифровому коду валюты _________________________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  <w:r w:rsidRPr="00A64E25">
              <w:lastRenderedPageBreak/>
              <w:t>Сумма</w:t>
            </w:r>
          </w:p>
          <w:p w:rsidR="00F00922" w:rsidRPr="00A64E25" w:rsidRDefault="00F00922">
            <w:pPr>
              <w:pStyle w:val="ConsPlusNormal"/>
            </w:pPr>
            <w:r w:rsidRPr="00A64E25">
              <w:t>(в тыс. единиц валюты) по цифровому коду валюты _________________________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  <w:r w:rsidRPr="00A64E25">
              <w:t>Сумма</w:t>
            </w:r>
          </w:p>
          <w:p w:rsidR="00F00922" w:rsidRPr="00A64E25" w:rsidRDefault="00F00922">
            <w:pPr>
              <w:pStyle w:val="ConsPlusNormal"/>
            </w:pPr>
            <w:r w:rsidRPr="00A64E25">
              <w:t>(в тыс. единиц валюты) по цифровому коду валюты _________________________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  <w:r w:rsidRPr="00A64E25">
              <w:t>Сумма</w:t>
            </w:r>
          </w:p>
          <w:p w:rsidR="00F00922" w:rsidRPr="00A64E25" w:rsidRDefault="00F00922">
            <w:pPr>
              <w:pStyle w:val="ConsPlusNormal"/>
            </w:pPr>
            <w:r w:rsidRPr="00A64E25">
              <w:t>(в тыс. единиц валюты) по цифровому коду валюты _________________________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c>
          <w:tcPr>
            <w:tcW w:w="4560" w:type="dxa"/>
          </w:tcPr>
          <w:p w:rsidR="00F00922" w:rsidRPr="00A64E25" w:rsidRDefault="00F00922">
            <w:pPr>
              <w:pStyle w:val="ConsPlusNormal"/>
            </w:pPr>
            <w:r w:rsidRPr="00A64E25">
              <w:t>Сумма</w:t>
            </w:r>
          </w:p>
          <w:p w:rsidR="00F00922" w:rsidRPr="00A64E25" w:rsidRDefault="00F00922">
            <w:pPr>
              <w:pStyle w:val="ConsPlusNormal"/>
            </w:pPr>
            <w:r w:rsidRPr="00A64E25">
              <w:t>(в тыс. единиц валюты) по цифровому коду валюты _________________________</w:t>
            </w: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26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18" w:type="dxa"/>
          </w:tcPr>
          <w:p w:rsidR="00F00922" w:rsidRPr="00A64E25" w:rsidRDefault="00F00922">
            <w:pPr>
              <w:pStyle w:val="ConsPlusNormal"/>
            </w:pPr>
          </w:p>
        </w:tc>
      </w:tr>
    </w:tbl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nformat"/>
        <w:jc w:val="both"/>
      </w:pPr>
      <w:r w:rsidRPr="00A64E25">
        <w:t xml:space="preserve">Данные  о  разрешении Банка России, на основании которого открыт   счет   </w:t>
      </w:r>
      <w:proofErr w:type="gramStart"/>
      <w:r w:rsidRPr="00A64E25">
        <w:t>в</w:t>
      </w:r>
      <w:proofErr w:type="gramEnd"/>
    </w:p>
    <w:p w:rsidR="00F00922" w:rsidRPr="00A64E25" w:rsidRDefault="00F00922">
      <w:pPr>
        <w:pStyle w:val="ConsPlusNonformat"/>
        <w:jc w:val="both"/>
      </w:pPr>
      <w:r w:rsidRPr="00A64E25">
        <w:t xml:space="preserve">банке  за  пределами  территории  Российской Федерации, если счет открыт </w:t>
      </w:r>
      <w:proofErr w:type="gramStart"/>
      <w:r w:rsidRPr="00A64E25">
        <w:t>на</w:t>
      </w:r>
      <w:proofErr w:type="gramEnd"/>
    </w:p>
    <w:p w:rsidR="00F00922" w:rsidRPr="00A64E25" w:rsidRDefault="00F00922">
      <w:pPr>
        <w:pStyle w:val="ConsPlusNonformat"/>
        <w:jc w:val="both"/>
      </w:pPr>
      <w:proofErr w:type="gramStart"/>
      <w:r w:rsidRPr="00A64E25">
        <w:t>основании</w:t>
      </w:r>
      <w:proofErr w:type="gramEnd"/>
      <w:r w:rsidRPr="00A64E25">
        <w:t xml:space="preserve"> разрешения Банка России.</w:t>
      </w:r>
    </w:p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"/>
        <w:gridCol w:w="336"/>
        <w:gridCol w:w="336"/>
        <w:gridCol w:w="336"/>
        <w:gridCol w:w="336"/>
        <w:gridCol w:w="335"/>
        <w:gridCol w:w="336"/>
        <w:gridCol w:w="336"/>
        <w:gridCol w:w="336"/>
        <w:gridCol w:w="336"/>
        <w:gridCol w:w="335"/>
        <w:gridCol w:w="336"/>
        <w:gridCol w:w="336"/>
        <w:gridCol w:w="336"/>
        <w:gridCol w:w="336"/>
        <w:gridCol w:w="336"/>
        <w:gridCol w:w="335"/>
        <w:gridCol w:w="336"/>
        <w:gridCol w:w="336"/>
        <w:gridCol w:w="336"/>
        <w:gridCol w:w="336"/>
        <w:gridCol w:w="335"/>
        <w:gridCol w:w="336"/>
        <w:gridCol w:w="336"/>
        <w:gridCol w:w="336"/>
        <w:gridCol w:w="336"/>
        <w:gridCol w:w="336"/>
      </w:tblGrid>
      <w:tr w:rsidR="00A64E25" w:rsidRPr="00A64E25">
        <w:tc>
          <w:tcPr>
            <w:tcW w:w="335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5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5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36" w:type="dxa"/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blPrEx>
          <w:tblBorders>
            <w:left w:val="none" w:sz="0" w:space="0" w:color="auto"/>
            <w:right w:val="none" w:sz="0" w:space="0" w:color="auto"/>
            <w:insideV w:val="nil"/>
          </w:tblBorders>
        </w:tblPrEx>
        <w:tc>
          <w:tcPr>
            <w:tcW w:w="671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(день)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672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(месяц)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44" w:type="dxa"/>
            <w:gridSpan w:val="4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(год)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5374" w:type="dxa"/>
            <w:gridSpan w:val="16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(номер)</w:t>
            </w:r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6094"/>
      </w:tblGrid>
      <w:tr w:rsidR="00A64E25" w:rsidRPr="00A64E25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_____________</w:t>
            </w:r>
          </w:p>
          <w:p w:rsidR="00F00922" w:rsidRPr="00A64E25" w:rsidRDefault="00F00922">
            <w:pPr>
              <w:pStyle w:val="ConsPlusNormal"/>
              <w:jc w:val="center"/>
            </w:pPr>
            <w:r w:rsidRPr="00A64E25">
              <w:t>(подпись)</w:t>
            </w:r>
          </w:p>
        </w:tc>
        <w:tc>
          <w:tcPr>
            <w:tcW w:w="6094" w:type="dxa"/>
            <w:tcBorders>
              <w:left w:val="single" w:sz="4" w:space="0" w:color="auto"/>
              <w:right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A64E25" w:rsidRPr="00A64E25">
        <w:tblPrEx>
          <w:tblBorders>
            <w:right w:val="none" w:sz="0" w:space="0" w:color="auto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/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22" w:rsidRPr="00A64E25" w:rsidRDefault="00F00922"/>
        </w:tc>
        <w:tc>
          <w:tcPr>
            <w:tcW w:w="6094" w:type="dxa"/>
            <w:tcBorders>
              <w:left w:val="nil"/>
              <w:right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(Ф.И.О.)</w:t>
            </w:r>
          </w:p>
        </w:tc>
      </w:tr>
      <w:tr w:rsidR="00A64E25" w:rsidRPr="00A64E25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/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_____________</w:t>
            </w:r>
          </w:p>
          <w:p w:rsidR="00F00922" w:rsidRPr="00A64E25" w:rsidRDefault="00F00922">
            <w:pPr>
              <w:pStyle w:val="ConsPlusNormal"/>
              <w:jc w:val="center"/>
            </w:pPr>
            <w:r w:rsidRPr="00A64E25">
              <w:t>(подпись)</w:t>
            </w:r>
          </w:p>
        </w:tc>
        <w:tc>
          <w:tcPr>
            <w:tcW w:w="6094" w:type="dxa"/>
            <w:tcBorders>
              <w:left w:val="single" w:sz="4" w:space="0" w:color="auto"/>
              <w:right w:val="single" w:sz="4" w:space="0" w:color="auto"/>
            </w:tcBorders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blPrEx>
          <w:tblBorders>
            <w:right w:val="none" w:sz="0" w:space="0" w:color="auto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0922" w:rsidRPr="00A64E25" w:rsidRDefault="00F00922"/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22" w:rsidRPr="00A64E25" w:rsidRDefault="00F00922"/>
        </w:tc>
        <w:tc>
          <w:tcPr>
            <w:tcW w:w="6094" w:type="dxa"/>
            <w:tcBorders>
              <w:left w:val="nil"/>
              <w:bottom w:val="nil"/>
              <w:right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 xml:space="preserve">(Ф.И.О. представителя физического лица - резидента) </w:t>
            </w:r>
            <w:hyperlink w:anchor="P433" w:history="1">
              <w:r w:rsidRPr="00A64E25">
                <w:t>&lt;6&gt;</w:t>
              </w:r>
            </w:hyperlink>
          </w:p>
        </w:tc>
      </w:tr>
    </w:tbl>
    <w:p w:rsidR="00F00922" w:rsidRPr="00A64E25" w:rsidRDefault="00F0092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695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</w:tblGrid>
      <w:tr w:rsidR="00A64E25" w:rsidRPr="00A64E25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F00922" w:rsidRPr="00A64E25" w:rsidRDefault="00F00922">
            <w:pPr>
              <w:pStyle w:val="ConsPlusNormal"/>
              <w:jc w:val="both"/>
            </w:pPr>
            <w:r w:rsidRPr="00A64E25">
              <w:lastRenderedPageBreak/>
              <w:t>Телефон</w:t>
            </w: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1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1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09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10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1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2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2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1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1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2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1" w:type="dxa"/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2" w:type="dxa"/>
          </w:tcPr>
          <w:p w:rsidR="00F00922" w:rsidRPr="00A64E25" w:rsidRDefault="00F00922">
            <w:pPr>
              <w:pStyle w:val="ConsPlusNormal"/>
            </w:pPr>
          </w:p>
        </w:tc>
      </w:tr>
      <w:tr w:rsidR="00F00922" w:rsidRPr="00A64E25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560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3402" w:type="dxa"/>
            <w:gridSpan w:val="11"/>
            <w:tcBorders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(день)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(месяц)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F00922" w:rsidRPr="00A64E25" w:rsidRDefault="00F00922">
            <w:pPr>
              <w:pStyle w:val="ConsPlusNormal"/>
            </w:pPr>
          </w:p>
        </w:tc>
        <w:tc>
          <w:tcPr>
            <w:tcW w:w="1366" w:type="dxa"/>
            <w:gridSpan w:val="4"/>
            <w:tcBorders>
              <w:bottom w:val="nil"/>
            </w:tcBorders>
          </w:tcPr>
          <w:p w:rsidR="00F00922" w:rsidRPr="00A64E25" w:rsidRDefault="00F00922">
            <w:pPr>
              <w:pStyle w:val="ConsPlusNormal"/>
              <w:jc w:val="center"/>
            </w:pPr>
            <w:r w:rsidRPr="00A64E25">
              <w:t>(год)</w:t>
            </w:r>
          </w:p>
        </w:tc>
      </w:tr>
    </w:tbl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rmal"/>
        <w:ind w:firstLine="540"/>
        <w:jc w:val="both"/>
      </w:pPr>
      <w:r w:rsidRPr="00A64E25">
        <w:t>--------------------------------</w:t>
      </w:r>
    </w:p>
    <w:p w:rsidR="00F00922" w:rsidRPr="00A64E25" w:rsidRDefault="00F00922">
      <w:pPr>
        <w:pStyle w:val="ConsPlusNormal"/>
        <w:ind w:firstLine="540"/>
        <w:jc w:val="both"/>
      </w:pPr>
      <w:bookmarkStart w:id="9" w:name="P428"/>
      <w:bookmarkEnd w:id="9"/>
      <w:r w:rsidRPr="00A64E25">
        <w:t>&lt;1&gt; Ф.И.О. указывается в соответствии с документом, удостоверяющим личность гражданина. Отчество указывается при наличии.</w:t>
      </w:r>
    </w:p>
    <w:p w:rsidR="00F00922" w:rsidRPr="00A64E25" w:rsidRDefault="00F00922">
      <w:pPr>
        <w:pStyle w:val="ConsPlusNormal"/>
        <w:ind w:firstLine="540"/>
        <w:jc w:val="both"/>
      </w:pPr>
      <w:bookmarkStart w:id="10" w:name="P429"/>
      <w:bookmarkEnd w:id="10"/>
      <w:r w:rsidRPr="00A64E25">
        <w:t>&lt;2&gt; Вид документа указывается в соответствии со справочником "Коды видов документов, удостоверяющих личность налогоплательщика" (</w:t>
      </w:r>
      <w:hyperlink r:id="rId10" w:history="1">
        <w:r w:rsidRPr="00A64E25">
          <w:t>приложение N 1</w:t>
        </w:r>
      </w:hyperlink>
      <w:r w:rsidRPr="00A64E25">
        <w:t xml:space="preserve"> к Порядку заполнения формы сведений о доходах физического лица по форме 2-НДФЛ "Справка о доходах физического лица", утвержденному приказом ФНС России от 30 октября 2015 г. N ММВ-7-11/485@).</w:t>
      </w:r>
    </w:p>
    <w:p w:rsidR="00F00922" w:rsidRPr="00A64E25" w:rsidRDefault="00F00922">
      <w:pPr>
        <w:pStyle w:val="ConsPlusNormal"/>
        <w:ind w:firstLine="540"/>
        <w:jc w:val="both"/>
      </w:pPr>
      <w:bookmarkStart w:id="11" w:name="P430"/>
      <w:bookmarkEnd w:id="11"/>
      <w:r w:rsidRPr="00A64E25">
        <w:t xml:space="preserve">&lt;3&gt; Код страны указывается в соответствии с Общероссийским </w:t>
      </w:r>
      <w:hyperlink r:id="rId11" w:history="1">
        <w:r w:rsidRPr="00A64E25">
          <w:t>классификатором</w:t>
        </w:r>
      </w:hyperlink>
      <w:r w:rsidRPr="00A64E25">
        <w:t xml:space="preserve"> стран мира (цифровой код).</w:t>
      </w:r>
    </w:p>
    <w:p w:rsidR="00F00922" w:rsidRPr="00A64E25" w:rsidRDefault="00F00922">
      <w:pPr>
        <w:pStyle w:val="ConsPlusNormal"/>
        <w:ind w:firstLine="540"/>
        <w:jc w:val="both"/>
      </w:pPr>
      <w:bookmarkStart w:id="12" w:name="P431"/>
      <w:bookmarkEnd w:id="12"/>
      <w:r w:rsidRPr="00A64E25">
        <w:t>&lt;4&gt; Количество совладельцев счета указывается в случае владения общим (совместным) счетом (вкладом).</w:t>
      </w:r>
    </w:p>
    <w:p w:rsidR="00F00922" w:rsidRPr="00A64E25" w:rsidRDefault="00F00922">
      <w:pPr>
        <w:pStyle w:val="ConsPlusNormal"/>
        <w:ind w:firstLine="540"/>
        <w:jc w:val="both"/>
      </w:pPr>
      <w:bookmarkStart w:id="13" w:name="P432"/>
      <w:bookmarkEnd w:id="13"/>
      <w:r w:rsidRPr="00A64E25">
        <w:t xml:space="preserve">&lt;5&gt; Код валюты счета указывается в соответствии с Общероссийским </w:t>
      </w:r>
      <w:hyperlink r:id="rId12" w:history="1">
        <w:r w:rsidRPr="00A64E25">
          <w:t>классификатором</w:t>
        </w:r>
      </w:hyperlink>
      <w:r w:rsidRPr="00A64E25">
        <w:t xml:space="preserve"> валют (цифровой и буквенный коды). </w:t>
      </w:r>
      <w:hyperlink w:anchor="P266" w:history="1">
        <w:r w:rsidRPr="00A64E25">
          <w:t>Пункты 2</w:t>
        </w:r>
      </w:hyperlink>
      <w:r w:rsidRPr="00A64E25">
        <w:t xml:space="preserve"> - </w:t>
      </w:r>
      <w:hyperlink w:anchor="P296" w:history="1">
        <w:r w:rsidRPr="00A64E25">
          <w:t>5</w:t>
        </w:r>
      </w:hyperlink>
      <w:r w:rsidRPr="00A64E25">
        <w:t xml:space="preserve"> заполняются по мультивалютным счетам.</w:t>
      </w:r>
    </w:p>
    <w:p w:rsidR="00F00922" w:rsidRPr="00A64E25" w:rsidRDefault="00F00922">
      <w:pPr>
        <w:pStyle w:val="ConsPlusNormal"/>
        <w:ind w:firstLine="540"/>
        <w:jc w:val="both"/>
      </w:pPr>
      <w:bookmarkStart w:id="14" w:name="P433"/>
      <w:bookmarkEnd w:id="14"/>
      <w:r w:rsidRPr="00A64E25">
        <w:t>&lt;6&gt; Ф.И.О. указывается в случае представления отчета представителем физического лица - резидента. Отчество указывается при наличии.</w:t>
      </w:r>
    </w:p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rmal"/>
        <w:jc w:val="both"/>
      </w:pPr>
    </w:p>
    <w:p w:rsidR="00F00922" w:rsidRPr="00A64E25" w:rsidRDefault="00F00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465F" w:rsidRPr="00A64E25" w:rsidRDefault="003C465F">
      <w:bookmarkStart w:id="15" w:name="_GoBack"/>
      <w:bookmarkEnd w:id="15"/>
    </w:p>
    <w:sectPr w:rsidR="003C465F" w:rsidRPr="00A64E25" w:rsidSect="002A625A">
      <w:pgSz w:w="16838" w:h="11905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2"/>
    <w:rsid w:val="002A625A"/>
    <w:rsid w:val="003C465F"/>
    <w:rsid w:val="00A64E25"/>
    <w:rsid w:val="00F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0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9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0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9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2DF2E509A50F243C6838BF47171DF25E40B75C19AF7B68948E6E8FBHEiD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12DF2E509A50F243C6838BF47171DF25EB0D7AC69FF7B68948E6E8FBEDE6578E1239211C71AF7DH9i2G" TargetMode="External"/><Relationship Id="rId12" Type="http://schemas.openxmlformats.org/officeDocument/2006/relationships/hyperlink" Target="consultantplus://offline/ref=2A12DF2E509A50F243C6838BF47171DF25EA057BC495F7B68948E6E8FBHEi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2DF2E509A50F243C6838BF47171DF25EB0D74C39FF7B68948E6E8FBHEiDG" TargetMode="External"/><Relationship Id="rId11" Type="http://schemas.openxmlformats.org/officeDocument/2006/relationships/hyperlink" Target="consultantplus://offline/ref=2A12DF2E509A50F243C6838BF47171DF25E70B70CB99F7B68948E6E8FBEDE6578E1239211C71AC7DH9iBG" TargetMode="External"/><Relationship Id="rId5" Type="http://schemas.openxmlformats.org/officeDocument/2006/relationships/hyperlink" Target="consultantplus://offline/ref=2A12DF2E509A50F243C6838BF47171DF25EB0D7AC69FF7B68948E6E8FBEDE6578E1239211DH7i9G" TargetMode="External"/><Relationship Id="rId10" Type="http://schemas.openxmlformats.org/officeDocument/2006/relationships/hyperlink" Target="consultantplus://offline/ref=2A12DF2E509A50F243C6838BF47171DF25EA0577CB9DF7B68948E6E8FBEDE6578E1239211C71AE7CH9i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2DF2E509A50F243C6838BF47171DF25EB0D7AC69FF7B68948E6E8FBEDE6578E1239211C71A97EH9i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Жабин Игорь Юрьевич</dc:creator>
  <cp:lastModifiedBy>user01</cp:lastModifiedBy>
  <cp:revision>3</cp:revision>
  <dcterms:created xsi:type="dcterms:W3CDTF">2016-03-03T06:34:00Z</dcterms:created>
  <dcterms:modified xsi:type="dcterms:W3CDTF">2016-03-04T12:26:00Z</dcterms:modified>
</cp:coreProperties>
</file>